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DA" w:rsidRDefault="004E5CA2" w:rsidP="00B80983">
      <w:pPr>
        <w:pStyle w:val="Rtitle"/>
      </w:pPr>
      <w:r>
        <w:t>The assurance provided for each audit completed under the internal audit plan for 2017/18</w:t>
      </w:r>
    </w:p>
    <w:p w:rsidR="00C944DB" w:rsidRDefault="004E5CA2" w:rsidP="004E5CA2">
      <w:pPr>
        <w:pStyle w:val="Rparagraph"/>
        <w:jc w:val="both"/>
      </w:pPr>
      <w:r>
        <w:rPr>
          <w:rFonts w:cs="Arial"/>
          <w:szCs w:val="24"/>
        </w:rPr>
        <w:t xml:space="preserve">A brief summary of the assurance provided for each of the audits relating to 2017/18 and completed by 30 June 2018 is provided in the table below. More information </w:t>
      </w:r>
      <w:r>
        <w:rPr>
          <w:rFonts w:cs="Arial"/>
          <w:szCs w:val="24"/>
        </w:rPr>
        <w:t>about the matters arising from each of the audits completed since March 2018 is set out in annex 2, and the progress reports ta</w:t>
      </w:r>
      <w:bookmarkStart w:id="0" w:name="_GoBack"/>
      <w:bookmarkEnd w:id="0"/>
      <w:r>
        <w:rPr>
          <w:rFonts w:cs="Arial"/>
          <w:szCs w:val="24"/>
        </w:rPr>
        <w:t>ken to the committee's meetings in September 2017, January and April 2018 provide summaries of the findings of each of the audits</w:t>
      </w:r>
      <w:r>
        <w:rPr>
          <w:rFonts w:cs="Arial"/>
          <w:szCs w:val="24"/>
        </w:rPr>
        <w:t xml:space="preserve"> completed during the year</w:t>
      </w:r>
      <w:r>
        <w:t xml:space="preserve">.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146"/>
        <w:gridCol w:w="1444"/>
      </w:tblGrid>
      <w:tr w:rsidR="00EC7AD3" w:rsidTr="00C944DB">
        <w:trPr>
          <w:tblHeader/>
        </w:trPr>
        <w:tc>
          <w:tcPr>
            <w:tcW w:w="7146" w:type="dxa"/>
            <w:shd w:val="clear" w:color="auto" w:fill="D9D9D9" w:themeFill="background1" w:themeFillShade="D9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87C95">
              <w:rPr>
                <w:rFonts w:ascii="Arial" w:hAnsi="Arial" w:cs="Arial"/>
                <w:b/>
                <w:sz w:val="24"/>
                <w:szCs w:val="24"/>
              </w:rPr>
              <w:t>Control area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87C95">
              <w:rPr>
                <w:rFonts w:ascii="Arial" w:hAnsi="Arial" w:cs="Arial"/>
                <w:b/>
                <w:sz w:val="24"/>
                <w:szCs w:val="24"/>
              </w:rPr>
              <w:t>Assurance</w:t>
            </w:r>
          </w:p>
        </w:tc>
      </w:tr>
      <w:tr w:rsidR="00EC7AD3" w:rsidTr="00C944DB">
        <w:tc>
          <w:tcPr>
            <w:tcW w:w="8590" w:type="dxa"/>
            <w:gridSpan w:val="2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sz w:val="22"/>
                <w:szCs w:val="22"/>
              </w:rPr>
              <w:t>Governance and democratic oversight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Decision-making within the corporate governance framework by elected members under delegated powers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Decision-making within the corporate governance framework by</w:t>
            </w:r>
            <w:r w:rsidRPr="00387C95">
              <w:rPr>
                <w:rFonts w:ascii="Arial" w:hAnsi="Arial" w:cs="Arial"/>
                <w:sz w:val="22"/>
                <w:szCs w:val="22"/>
              </w:rPr>
              <w:t xml:space="preserve"> officers under delegated powers.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8590" w:type="dxa"/>
            <w:gridSpan w:val="2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sz w:val="22"/>
                <w:szCs w:val="22"/>
              </w:rPr>
              <w:t>Business effectiveness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Preparation and use of the corporate risk register.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Oversight of the Lancashire Pension Fund: the council's governance framework.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Oversight of the Lancashire Pension Fund</w:t>
            </w:r>
            <w:r w:rsidRPr="00387C95">
              <w:rPr>
                <w:rFonts w:ascii="Arial" w:hAnsi="Arial" w:cs="Arial"/>
                <w:sz w:val="22"/>
                <w:szCs w:val="22"/>
              </w:rPr>
              <w:t>: custodianship</w:t>
            </w:r>
            <w:r w:rsidRPr="00387C95">
              <w:rPr>
                <w:rFonts w:ascii="Arial" w:hAnsi="Arial" w:cs="Arial"/>
                <w:sz w:val="22"/>
                <w:szCs w:val="22"/>
              </w:rPr>
              <w:t xml:space="preserve"> of assets</w:t>
            </w:r>
            <w:r w:rsidRPr="00387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Accounting for the Pension Fund through the council's general ledger.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Oversight and alignment of the council's establishment and staffing budget.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8590" w:type="dxa"/>
            <w:gridSpan w:val="2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delivery: </w:t>
            </w:r>
            <w:r w:rsidRPr="00387C95">
              <w:rPr>
                <w:rFonts w:ascii="Arial" w:hAnsi="Arial" w:cs="Arial"/>
                <w:b/>
                <w:sz w:val="22"/>
                <w:szCs w:val="22"/>
              </w:rPr>
              <w:t>adult services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Complex case </w:t>
            </w:r>
            <w:r w:rsidRPr="00387C95">
              <w:rPr>
                <w:rFonts w:ascii="Arial" w:hAnsi="Arial" w:cs="Arial"/>
                <w:sz w:val="22"/>
                <w:szCs w:val="22"/>
              </w:rPr>
              <w:t>forums decision making process (formerly 'panel decision making processes').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Case management: occupational therapy services.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Direct payments to service users and their carers.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Direct payment financial reviews.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Service user financial assessments.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Mental health safeguarding.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8590" w:type="dxa"/>
            <w:gridSpan w:val="2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children's services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Safeguarding through recruitment: selection and vetting procedures.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Information security within parts of Children's </w:t>
            </w:r>
            <w:r w:rsidRPr="00387C95">
              <w:rPr>
                <w:rFonts w:ascii="Arial" w:hAnsi="Arial" w:cs="Arial"/>
                <w:sz w:val="22"/>
                <w:szCs w:val="22"/>
              </w:rPr>
              <w:t>Services.</w:t>
            </w:r>
          </w:p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(This audit addressed only the adequacy of the operational system's overall design, not its effectiveness.)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Personal budgets for service users and direct payments to their carers.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Transition from children's to adult </w:t>
            </w:r>
            <w:r w:rsidRPr="00387C95">
              <w:rPr>
                <w:rFonts w:ascii="Arial" w:hAnsi="Arial" w:cs="Arial"/>
                <w:sz w:val="22"/>
                <w:szCs w:val="22"/>
              </w:rPr>
              <w:t>services.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8590" w:type="dxa"/>
            <w:gridSpan w:val="2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community services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lastRenderedPageBreak/>
              <w:t>Safeguarding in the provision of transport for children.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95406F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Contract monitoring: landfill waste.</w:t>
            </w:r>
          </w:p>
        </w:tc>
        <w:tc>
          <w:tcPr>
            <w:tcW w:w="1444" w:type="dxa"/>
          </w:tcPr>
          <w:p w:rsidR="0095406F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Operation of the Highways Asset Management System (HAMS).</w:t>
            </w:r>
          </w:p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(This audit addressed</w:t>
            </w:r>
            <w:r w:rsidRPr="00387C95">
              <w:rPr>
                <w:rFonts w:ascii="Arial" w:hAnsi="Arial" w:cs="Arial"/>
                <w:sz w:val="22"/>
                <w:szCs w:val="22"/>
              </w:rPr>
              <w:t xml:space="preserve"> only the adequacy of the operational system's overall design and early operation, not its effectiveness.)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Pre planning application advice service.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Registrar's income.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Customer Access Service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Customer </w:t>
            </w:r>
            <w:r w:rsidRPr="00387C95">
              <w:rPr>
                <w:rFonts w:ascii="Arial" w:hAnsi="Arial" w:cs="Arial"/>
                <w:sz w:val="22"/>
                <w:szCs w:val="22"/>
              </w:rPr>
              <w:t>Access Service management assurance processes.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93578B">
        <w:tc>
          <w:tcPr>
            <w:tcW w:w="7146" w:type="dxa"/>
            <w:tcBorders>
              <w:bottom w:val="single" w:sz="4" w:space="0" w:color="auto"/>
            </w:tcBorders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Blue badge applications.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93578B">
        <w:tc>
          <w:tcPr>
            <w:tcW w:w="7146" w:type="dxa"/>
            <w:tcBorders>
              <w:right w:val="nil"/>
            </w:tcBorders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public health and wellbeing</w:t>
            </w: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services</w:t>
            </w:r>
          </w:p>
        </w:tc>
        <w:tc>
          <w:tcPr>
            <w:tcW w:w="1444" w:type="dxa"/>
            <w:tcBorders>
              <w:left w:val="nil"/>
            </w:tcBorders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AD3" w:rsidTr="00E76F08">
        <w:tc>
          <w:tcPr>
            <w:tcW w:w="7146" w:type="dxa"/>
          </w:tcPr>
          <w:p w:rsidR="0093578B" w:rsidRPr="00387C95" w:rsidRDefault="004E5CA2" w:rsidP="00E76F0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Commissioning and oversight of public health service provision.</w:t>
            </w:r>
          </w:p>
        </w:tc>
        <w:tc>
          <w:tcPr>
            <w:tcW w:w="1444" w:type="dxa"/>
          </w:tcPr>
          <w:p w:rsidR="0093578B" w:rsidRPr="00387C95" w:rsidRDefault="004E5CA2" w:rsidP="00E76F0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Making Safeguarding </w:t>
            </w:r>
            <w:r w:rsidRPr="00387C95">
              <w:rPr>
                <w:rFonts w:ascii="Arial" w:hAnsi="Arial" w:cs="Arial"/>
                <w:sz w:val="22"/>
                <w:szCs w:val="22"/>
              </w:rPr>
              <w:t>Personal.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Planning to address emergencies and civil contingencies: central planning and planning within services.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8590" w:type="dxa"/>
            <w:gridSpan w:val="2"/>
            <w:tcBorders>
              <w:top w:val="nil"/>
            </w:tcBorders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schools' financial management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Financial and governance controls within the county's schools.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Recovery of costs/ available income from partner organisations.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Review of a sample of Schools Financial Value Standard (SFVS) self-assessments submitted by schools for 2016/17.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bCs/>
                <w:sz w:val="22"/>
                <w:szCs w:val="22"/>
              </w:rPr>
              <w:t>Service delivery: corporate commissioning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Commissioning, design and monitoring of the capital programme.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Health and safety of the council's properties. (This audit addressed only the adequacy of the operational system's overall design, not its effectiveness.)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sz w:val="22"/>
                <w:szCs w:val="22"/>
              </w:rPr>
              <w:t>Service support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Children's Services' LCS system helpdesk.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Apprenticeship Levy.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87C95">
              <w:rPr>
                <w:rFonts w:ascii="Arial" w:hAnsi="Arial" w:cs="Arial"/>
                <w:b/>
                <w:sz w:val="22"/>
                <w:szCs w:val="22"/>
              </w:rPr>
              <w:t>Business processes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Accounts payable: central controls.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Accounts payable: service-based controls over payments – Caring and Responsive Transport (CART)</w:t>
            </w:r>
            <w:r w:rsidRPr="00387C95">
              <w:rPr>
                <w:rFonts w:ascii="Arial" w:hAnsi="Arial" w:cs="Arial"/>
                <w:sz w:val="22"/>
                <w:szCs w:val="22"/>
              </w:rPr>
              <w:t xml:space="preserve"> payments to taxi operators.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Accounts payable: service-based controls over payments – Repair and Maintenance Programme (RAMP) system payments.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Accounts receivable: service-based controls over receipts – Repair and Maintenance Programm</w:t>
            </w:r>
            <w:r w:rsidRPr="00387C95">
              <w:rPr>
                <w:rFonts w:ascii="Arial" w:hAnsi="Arial" w:cs="Arial"/>
                <w:sz w:val="22"/>
                <w:szCs w:val="22"/>
              </w:rPr>
              <w:t>e (RAMP) system receipts.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Accounts receivable and debt management: central controls.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Management information and budgetary control.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lastRenderedPageBreak/>
              <w:t>Treasury management.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Information governance.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 xml:space="preserve">Processing of </w:t>
            </w:r>
            <w:r w:rsidRPr="00387C95">
              <w:rPr>
                <w:rFonts w:ascii="Arial" w:hAnsi="Arial" w:cs="Arial"/>
                <w:sz w:val="22"/>
                <w:szCs w:val="22"/>
              </w:rPr>
              <w:t>payments by BTLS using information supplied by the council.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BTLS: payroll processing - payments on account and over-payments.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Oracle general ledger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Oversight of payroll payments.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Health and Safety Complian</w:t>
            </w:r>
            <w:r w:rsidRPr="00387C95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Central procurement: compliance with legislation, financial regulations and standing orders.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E-tendering. (This audit addressed only the adequacy of the operational system's overall design, not its effectiveness.)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EC7AD3" w:rsidTr="00C944DB">
        <w:tc>
          <w:tcPr>
            <w:tcW w:w="7146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Purchase cards.</w:t>
            </w:r>
          </w:p>
        </w:tc>
        <w:tc>
          <w:tcPr>
            <w:tcW w:w="1444" w:type="dxa"/>
          </w:tcPr>
          <w:p w:rsidR="00C944DB" w:rsidRPr="00387C95" w:rsidRDefault="004E5CA2" w:rsidP="002228F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87C95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</w:tbl>
    <w:p w:rsidR="00A23158" w:rsidRPr="00A23158" w:rsidRDefault="004E5CA2" w:rsidP="00C944DB">
      <w:pPr>
        <w:pStyle w:val="Rquotation"/>
      </w:pPr>
    </w:p>
    <w:sectPr w:rsidR="00A23158" w:rsidRPr="00A2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5CA2">
      <w:pPr>
        <w:spacing w:line="240" w:lineRule="auto"/>
      </w:pPr>
      <w:r>
        <w:separator/>
      </w:r>
    </w:p>
  </w:endnote>
  <w:endnote w:type="continuationSeparator" w:id="0">
    <w:p w:rsidR="00000000" w:rsidRDefault="004E5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5CA2">
      <w:pPr>
        <w:spacing w:line="240" w:lineRule="auto"/>
      </w:pPr>
      <w:r>
        <w:separator/>
      </w:r>
    </w:p>
  </w:footnote>
  <w:footnote w:type="continuationSeparator" w:id="0">
    <w:p w:rsidR="00000000" w:rsidRDefault="004E5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68D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AD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F2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01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BE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40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E26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E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972A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1A4062"/>
    <w:multiLevelType w:val="hybridMultilevel"/>
    <w:tmpl w:val="513AA548"/>
    <w:lvl w:ilvl="0" w:tplc="A45622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58008CF0" w:tentative="1">
      <w:start w:val="1"/>
      <w:numFmt w:val="lowerLetter"/>
      <w:lvlText w:val="%2."/>
      <w:lvlJc w:val="left"/>
      <w:pPr>
        <w:ind w:left="1440" w:hanging="360"/>
      </w:pPr>
    </w:lvl>
    <w:lvl w:ilvl="2" w:tplc="60B68592" w:tentative="1">
      <w:start w:val="1"/>
      <w:numFmt w:val="lowerRoman"/>
      <w:lvlText w:val="%3."/>
      <w:lvlJc w:val="right"/>
      <w:pPr>
        <w:ind w:left="2160" w:hanging="180"/>
      </w:pPr>
    </w:lvl>
    <w:lvl w:ilvl="3" w:tplc="C1E4E960" w:tentative="1">
      <w:start w:val="1"/>
      <w:numFmt w:val="decimal"/>
      <w:lvlText w:val="%4."/>
      <w:lvlJc w:val="left"/>
      <w:pPr>
        <w:ind w:left="2880" w:hanging="360"/>
      </w:pPr>
    </w:lvl>
    <w:lvl w:ilvl="4" w:tplc="9154E308" w:tentative="1">
      <w:start w:val="1"/>
      <w:numFmt w:val="lowerLetter"/>
      <w:lvlText w:val="%5."/>
      <w:lvlJc w:val="left"/>
      <w:pPr>
        <w:ind w:left="3600" w:hanging="360"/>
      </w:pPr>
    </w:lvl>
    <w:lvl w:ilvl="5" w:tplc="50F680D6" w:tentative="1">
      <w:start w:val="1"/>
      <w:numFmt w:val="lowerRoman"/>
      <w:lvlText w:val="%6."/>
      <w:lvlJc w:val="right"/>
      <w:pPr>
        <w:ind w:left="4320" w:hanging="180"/>
      </w:pPr>
    </w:lvl>
    <w:lvl w:ilvl="6" w:tplc="FD5EAB4A" w:tentative="1">
      <w:start w:val="1"/>
      <w:numFmt w:val="decimal"/>
      <w:lvlText w:val="%7."/>
      <w:lvlJc w:val="left"/>
      <w:pPr>
        <w:ind w:left="5040" w:hanging="360"/>
      </w:pPr>
    </w:lvl>
    <w:lvl w:ilvl="7" w:tplc="CED44A0C" w:tentative="1">
      <w:start w:val="1"/>
      <w:numFmt w:val="lowerLetter"/>
      <w:lvlText w:val="%8."/>
      <w:lvlJc w:val="left"/>
      <w:pPr>
        <w:ind w:left="5760" w:hanging="360"/>
      </w:pPr>
    </w:lvl>
    <w:lvl w:ilvl="8" w:tplc="FF482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BDA"/>
    <w:multiLevelType w:val="hybridMultilevel"/>
    <w:tmpl w:val="27E6247C"/>
    <w:lvl w:ilvl="0" w:tplc="650A9C3E">
      <w:start w:val="1"/>
      <w:numFmt w:val="bullet"/>
      <w:pStyle w:val="R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8484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54F6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2479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4AE9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28B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18FE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8ED1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86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36897"/>
    <w:multiLevelType w:val="multilevel"/>
    <w:tmpl w:val="E05235B2"/>
    <w:lvl w:ilvl="0">
      <w:start w:val="1"/>
      <w:numFmt w:val="decimal"/>
      <w:pStyle w:val="Rheading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paragraph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pStyle w:val="Rthirdlevelparagraph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AE6F36"/>
    <w:multiLevelType w:val="multilevel"/>
    <w:tmpl w:val="6F522544"/>
    <w:styleLink w:val="Style1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F35EF6"/>
    <w:multiLevelType w:val="multilevel"/>
    <w:tmpl w:val="C73CFD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2"/>
    <w:lvlOverride w:ilvl="0">
      <w:lvl w:ilvl="0">
        <w:start w:val="1"/>
        <w:numFmt w:val="decimal"/>
        <w:pStyle w:val="R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thirdlevelparagraph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pStyle w:val="R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thirdlevelparagraph"/>
        <w:lvlText w:val="%3)"/>
        <w:lvlJc w:val="left"/>
        <w:pPr>
          <w:ind w:left="1134" w:hanging="283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3"/>
    <w:rsid w:val="004E5CA2"/>
    <w:rsid w:val="00DC5FFC"/>
    <w:rsid w:val="00E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2C37C-AD00-41D3-BF53-6DE893F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DB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F02D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Rtitle">
    <w:name w:val="R title"/>
    <w:basedOn w:val="Heading1"/>
    <w:link w:val="RtitleChar"/>
    <w:autoRedefine/>
    <w:qFormat/>
    <w:rsid w:val="00B80983"/>
    <w:pPr>
      <w:spacing w:after="240" w:line="240" w:lineRule="auto"/>
    </w:pPr>
    <w:rPr>
      <w:rFonts w:ascii="Arial" w:hAnsi="Arial" w:cs="Arial"/>
      <w:b/>
      <w:color w:val="auto"/>
      <w:szCs w:val="24"/>
    </w:rPr>
  </w:style>
  <w:style w:type="paragraph" w:customStyle="1" w:styleId="Rheading">
    <w:name w:val="R heading"/>
    <w:basedOn w:val="Subtitle"/>
    <w:link w:val="RheadingChar"/>
    <w:autoRedefine/>
    <w:qFormat/>
    <w:rsid w:val="00951213"/>
    <w:pPr>
      <w:numPr>
        <w:ilvl w:val="0"/>
        <w:numId w:val="3"/>
      </w:numPr>
      <w:spacing w:before="240" w:after="120" w:line="240" w:lineRule="auto"/>
    </w:pPr>
    <w:rPr>
      <w:rFonts w:ascii="Arial" w:hAnsi="Arial"/>
      <w:b/>
      <w:color w:val="auto"/>
      <w:spacing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2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titleChar">
    <w:name w:val="R title Char"/>
    <w:basedOn w:val="Heading1Char"/>
    <w:link w:val="Rtitle"/>
    <w:rsid w:val="00B80983"/>
    <w:rPr>
      <w:rFonts w:ascii="Arial" w:eastAsiaTheme="majorEastAsia" w:hAnsi="Arial" w:cs="Arial"/>
      <w:b/>
      <w:color w:val="2E74B5" w:themeColor="accent1" w:themeShade="BF"/>
      <w:sz w:val="32"/>
      <w:szCs w:val="24"/>
    </w:rPr>
  </w:style>
  <w:style w:type="paragraph" w:customStyle="1" w:styleId="Rnumberedparagraph">
    <w:name w:val="R numbered paragraph"/>
    <w:basedOn w:val="Rparagraph"/>
    <w:link w:val="RnumberedparagraphChar"/>
    <w:autoRedefine/>
    <w:rsid w:val="0017397E"/>
  </w:style>
  <w:style w:type="paragraph" w:styleId="Subtitle">
    <w:name w:val="Subtitle"/>
    <w:basedOn w:val="Normal"/>
    <w:next w:val="Normal"/>
    <w:link w:val="SubtitleChar"/>
    <w:uiPriority w:val="11"/>
    <w:rsid w:val="008872C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72C9"/>
    <w:rPr>
      <w:rFonts w:eastAsiaTheme="minorEastAsia"/>
      <w:color w:val="5A5A5A" w:themeColor="text1" w:themeTint="A5"/>
      <w:spacing w:val="15"/>
    </w:rPr>
  </w:style>
  <w:style w:type="character" w:customStyle="1" w:styleId="RheadingChar">
    <w:name w:val="R heading Char"/>
    <w:basedOn w:val="SubtitleChar"/>
    <w:link w:val="Rheading"/>
    <w:rsid w:val="00951213"/>
    <w:rPr>
      <w:rFonts w:ascii="Arial" w:eastAsiaTheme="minorEastAsia" w:hAnsi="Arial"/>
      <w:b/>
      <w:color w:val="5A5A5A" w:themeColor="text1" w:themeTint="A5"/>
      <w:spacing w:val="15"/>
      <w:sz w:val="28"/>
    </w:rPr>
  </w:style>
  <w:style w:type="numbering" w:customStyle="1" w:styleId="Style1">
    <w:name w:val="Style1"/>
    <w:uiPriority w:val="99"/>
    <w:rsid w:val="00873C5A"/>
    <w:pPr>
      <w:numPr>
        <w:numId w:val="13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8872C9"/>
    <w:p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8872C9"/>
  </w:style>
  <w:style w:type="character" w:customStyle="1" w:styleId="RnumberedparagraphChar">
    <w:name w:val="R numbered paragraph Char"/>
    <w:basedOn w:val="ListNumberChar"/>
    <w:link w:val="Rnumberedparagraph"/>
    <w:rsid w:val="0017397E"/>
    <w:rPr>
      <w:rFonts w:ascii="Arial" w:eastAsiaTheme="minorEastAsia" w:hAnsi="Arial"/>
      <w:sz w:val="24"/>
    </w:rPr>
  </w:style>
  <w:style w:type="paragraph" w:customStyle="1" w:styleId="Rbullet">
    <w:name w:val="R bullet"/>
    <w:basedOn w:val="Rnumberedparagraph"/>
    <w:link w:val="RbulletChar"/>
    <w:autoRedefine/>
    <w:qFormat/>
    <w:rsid w:val="00291B97"/>
    <w:pPr>
      <w:numPr>
        <w:ilvl w:val="0"/>
        <w:numId w:val="15"/>
      </w:numPr>
      <w:ind w:left="1134" w:hanging="283"/>
    </w:pPr>
  </w:style>
  <w:style w:type="paragraph" w:customStyle="1" w:styleId="Rblankparagraph">
    <w:name w:val="R blank paragraph"/>
    <w:basedOn w:val="Rnumberedparagraph"/>
    <w:link w:val="RblankparagraphChar"/>
    <w:autoRedefine/>
    <w:qFormat/>
    <w:rsid w:val="000D1344"/>
    <w:pPr>
      <w:numPr>
        <w:ilvl w:val="0"/>
        <w:numId w:val="0"/>
      </w:numPr>
    </w:pPr>
  </w:style>
  <w:style w:type="character" w:customStyle="1" w:styleId="RbulletChar">
    <w:name w:val="R bullet Char"/>
    <w:basedOn w:val="RnumberedparagraphChar"/>
    <w:link w:val="Rbullet"/>
    <w:rsid w:val="00291B97"/>
    <w:rPr>
      <w:rFonts w:ascii="Arial" w:eastAsiaTheme="minorEastAsia" w:hAnsi="Arial"/>
      <w:sz w:val="24"/>
    </w:rPr>
  </w:style>
  <w:style w:type="paragraph" w:customStyle="1" w:styleId="Rparagraph">
    <w:name w:val="R paragraph"/>
    <w:basedOn w:val="Rheading"/>
    <w:link w:val="RparagraphChar"/>
    <w:qFormat/>
    <w:rsid w:val="0017397E"/>
    <w:pPr>
      <w:numPr>
        <w:ilvl w:val="1"/>
      </w:numPr>
      <w:spacing w:before="120"/>
      <w:ind w:left="567" w:hanging="567"/>
    </w:pPr>
    <w:rPr>
      <w:b w:val="0"/>
      <w:sz w:val="24"/>
    </w:rPr>
  </w:style>
  <w:style w:type="character" w:customStyle="1" w:styleId="RblankparagraphChar">
    <w:name w:val="R blank paragraph Char"/>
    <w:basedOn w:val="RnumberedparagraphChar"/>
    <w:link w:val="Rblankparagraph"/>
    <w:rsid w:val="000D1344"/>
    <w:rPr>
      <w:rFonts w:ascii="Arial" w:eastAsiaTheme="minorEastAsia" w:hAnsi="Arial"/>
      <w:sz w:val="24"/>
    </w:rPr>
  </w:style>
  <w:style w:type="paragraph" w:customStyle="1" w:styleId="Style2">
    <w:name w:val="Style2"/>
    <w:basedOn w:val="Rheading"/>
    <w:next w:val="Rparagraph"/>
    <w:rsid w:val="00A23158"/>
    <w:pPr>
      <w:numPr>
        <w:numId w:val="0"/>
      </w:numPr>
      <w:ind w:left="851" w:hanging="426"/>
    </w:pPr>
    <w:rPr>
      <w:b w:val="0"/>
    </w:rPr>
  </w:style>
  <w:style w:type="paragraph" w:customStyle="1" w:styleId="Rthirdlevelparagraph">
    <w:name w:val="R third level paragraph"/>
    <w:basedOn w:val="Rparagraph"/>
    <w:link w:val="RthirdlevelparagraphChar"/>
    <w:autoRedefine/>
    <w:qFormat/>
    <w:rsid w:val="00FB51F3"/>
    <w:pPr>
      <w:numPr>
        <w:ilvl w:val="2"/>
      </w:numPr>
    </w:pPr>
  </w:style>
  <w:style w:type="character" w:customStyle="1" w:styleId="RparagraphChar">
    <w:name w:val="R paragraph Char"/>
    <w:basedOn w:val="RheadingChar"/>
    <w:link w:val="Rparagraph"/>
    <w:rsid w:val="0017397E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character" w:customStyle="1" w:styleId="RthirdlevelparagraphChar">
    <w:name w:val="R third level paragraph Char"/>
    <w:basedOn w:val="RparagraphChar"/>
    <w:link w:val="Rthirdlevelparagraph"/>
    <w:rsid w:val="00FB51F3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paragraph" w:customStyle="1" w:styleId="Rquotation">
    <w:name w:val="R quotation"/>
    <w:basedOn w:val="Rblankparagraph"/>
    <w:link w:val="RquotationChar"/>
    <w:qFormat/>
    <w:rsid w:val="000D1344"/>
    <w:pPr>
      <w:ind w:left="567"/>
    </w:pPr>
  </w:style>
  <w:style w:type="paragraph" w:customStyle="1" w:styleId="Rsub-heading">
    <w:name w:val="R sub-heading"/>
    <w:basedOn w:val="Rparagraph"/>
    <w:link w:val="Rsub-headingChar"/>
    <w:autoRedefine/>
    <w:qFormat/>
    <w:rsid w:val="00D30A41"/>
    <w:pPr>
      <w:numPr>
        <w:ilvl w:val="0"/>
        <w:numId w:val="0"/>
      </w:numPr>
      <w:ind w:left="567"/>
    </w:pPr>
    <w:rPr>
      <w:b/>
    </w:rPr>
  </w:style>
  <w:style w:type="character" w:customStyle="1" w:styleId="RquotationChar">
    <w:name w:val="R quotation Char"/>
    <w:basedOn w:val="RblankparagraphChar"/>
    <w:link w:val="Rquotation"/>
    <w:rsid w:val="000D1344"/>
    <w:rPr>
      <w:rFonts w:ascii="Arial" w:eastAsiaTheme="minorEastAsia" w:hAnsi="Arial"/>
      <w:sz w:val="24"/>
    </w:rPr>
  </w:style>
  <w:style w:type="character" w:customStyle="1" w:styleId="Rsub-headingChar">
    <w:name w:val="R sub-heading Char"/>
    <w:basedOn w:val="RparagraphChar"/>
    <w:link w:val="Rsub-heading"/>
    <w:rsid w:val="00D30A41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5A6CD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6CDB"/>
  </w:style>
  <w:style w:type="paragraph" w:styleId="Footer">
    <w:name w:val="footer"/>
    <w:basedOn w:val="Normal"/>
    <w:link w:val="FooterChar"/>
    <w:uiPriority w:val="99"/>
    <w:unhideWhenUsed/>
    <w:rsid w:val="005A6CD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6CDB"/>
  </w:style>
  <w:style w:type="paragraph" w:styleId="ListParagraph">
    <w:name w:val="List Paragraph"/>
    <w:basedOn w:val="Normal"/>
    <w:link w:val="ListParagraphChar"/>
    <w:uiPriority w:val="34"/>
    <w:qFormat/>
    <w:rsid w:val="00C944D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44D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9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Gorman, Dave</cp:lastModifiedBy>
  <cp:revision>13</cp:revision>
  <cp:lastPrinted>2018-07-11T09:29:00Z</cp:lastPrinted>
  <dcterms:created xsi:type="dcterms:W3CDTF">2018-07-09T13:10:00Z</dcterms:created>
  <dcterms:modified xsi:type="dcterms:W3CDTF">2018-07-17T08:04:00Z</dcterms:modified>
</cp:coreProperties>
</file>